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aps/>
          <w:color w:val="1591F0"/>
          <w:sz w:val="18"/>
          <w:szCs w:val="18"/>
        </w:rPr>
        <w:t xml:space="preserve">MODÈLE — GROUPEMENT MOMENTANÉ D'ENTREPRISES (GME)</w:t>
      </w:r>
    </w:p>
    <w:p>
      <w:pPr>
        <w:pBdr>
          <w:bottom w:val="single" w:color="1591F0" w:sz="10" w:space="8"/>
        </w:pBdr>
        <w:spacing w:after="300"/>
        <w:jc w:val="center"/>
      </w:pPr>
      <w:r>
        <w:rPr>
          <w:b/>
          <w:bCs/>
          <w:color w:val="1F3B57"/>
          <w:sz w:val="40"/>
          <w:szCs w:val="40"/>
        </w:rPr>
        <w:t xml:space="preserve">CONVENTION DE COTRAITANCE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shd w:fill="F2F2F2" w:val="clear"/>
            <w:tcMar>
              <w:top w:type="dxa" w:w="160"/>
              <w:left w:type="dxa" w:w="200"/>
              <w:bottom w:type="dxa" w:w="160"/>
              <w:right w:type="dxa" w:w="200"/>
            </w:tcMar>
          </w:tcPr>
          <w:p>
            <w:pPr>
              <w:spacing w:after="80"/>
            </w:pPr>
            <w:r>
              <w:rPr>
                <w:b/>
                <w:bCs/>
                <w:color w:val="1F3B57"/>
                <w:sz w:val="20"/>
                <w:szCs w:val="20"/>
              </w:rPr>
              <w:t xml:space="preserve">⚠ À savoir</w:t>
            </w:r>
          </w:p>
          <w:p>
            <w:pPr>
              <w:spacing w:after="0"/>
            </w:pPr>
            <w:r>
              <w:rPr>
                <w:color w:val="444444"/>
                <w:sz w:val="19"/>
                <w:szCs w:val="19"/>
              </w:rPr>
              <w:t xml:space="preserve">Ce document est un modèle générique à adapter à votre situation. Il ne remplace pas les documents spécifiques exigés par un marché public (DC1, DC2, règlement de consultation) ni un conseil juridique personnalisé. Faites relire la convention par un professionnel du droit avant signature, notamment pour les marchés de montant important.</w:t>
            </w:r>
          </w:p>
        </w:tc>
      </w:tr>
    </w:tbl>
    <w:p>
      <w:pPr>
        <w:spacing w:before="300"/>
      </w:pPr>
    </w:p>
    <w:p>
      <w:pPr>
        <w:spacing w:after="100" w:before="160"/>
      </w:pPr>
      <w:r>
        <w:rPr>
          <w:b/>
          <w:bCs/>
          <w:color w:val="1F3B57"/>
          <w:sz w:val="21"/>
          <w:szCs w:val="21"/>
        </w:rPr>
        <w:t xml:space="preserve">ENTRE LES SOUSSIGNÉS</w:t>
      </w:r>
    </w:p>
    <w:p>
      <w:pPr>
        <w:spacing w:after="140" w:line="300"/>
      </w:pPr>
      <w:r>
        <w:rPr>
          <w:sz w:val="21"/>
          <w:szCs w:val="21"/>
        </w:rPr>
        <w:t xml:space="preserve">Les entreprises listées ci-dessous, ci-après dénommées « les Cotraitants », désireuses de se regrouper de façon temporaire afin de répondre conjointement au marché décrit en préambule et d'en assurer l'exécution :</w:t>
      </w:r>
    </w:p>
    <w:p>
      <w:pPr>
        <w:spacing w:after="20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1F3B57" w:val="clear"/>
            <w:tcMar>
              <w:top w:type="dxa" w:w="80"/>
              <w:left w:type="dxa" w:w="100"/>
              <w:bottom w:type="dxa" w:w="80"/>
              <w:right w:type="dxa" w:w="100"/>
            </w:tcMar>
          </w:tcPr>
          <w:p>
            <w:r>
              <w:rPr>
                <w:b/>
                <w:bCs/>
                <w:color w:val="FFFFFF"/>
                <w:sz w:val="19"/>
                <w:szCs w:val="19"/>
              </w:rPr>
              <w:t xml:space="preserve">Champ</w:t>
            </w:r>
          </w:p>
        </w:tc>
        <w:tc>
          <w:tcPr>
            <w:tcW w:type="dxa" w:w="4500"/>
            <w:shd w:fill="1F3B57" w:val="clear"/>
            <w:tcMar>
              <w:top w:type="dxa" w:w="80"/>
              <w:left w:type="dxa" w:w="100"/>
              <w:bottom w:type="dxa" w:w="80"/>
              <w:right w:type="dxa" w:w="100"/>
            </w:tcMar>
          </w:tcPr>
          <w:p>
            <w:r>
              <w:rPr>
                <w:b/>
                <w:bCs/>
                <w:color w:val="FFFFFF"/>
                <w:sz w:val="19"/>
                <w:szCs w:val="19"/>
              </w:rPr>
              <w:t xml:space="preserve">Cotraitant n°1</w:t>
            </w:r>
          </w:p>
        </w:tc>
      </w:tr>
      <w:tr>
        <w:tc>
          <w:tcPr>
            <w:tcW w:type="dxa" w:w="4500"/>
          </w:tcPr>
          <w:p>
            <w:pPr>
              <w:spacing w:after="140" w:line="300"/>
            </w:pPr>
            <w:r>
              <w:rPr>
                <w:sz w:val="21"/>
                <w:szCs w:val="21"/>
              </w:rPr>
              <w:t xml:space="preserve">Dénomination sociale</w:t>
            </w:r>
          </w:p>
        </w:tc>
        <w:tc>
          <w:tcPr>
            <w:tcW w:type="dxa" w:w="4500"/>
            <w:tcMar>
              <w:top w:type="dxa" w:w="100"/>
              <w:left w:type="dxa" w:w="100"/>
              <w:bottom w:type="dxa" w:w="100"/>
              <w:right w:type="dxa" w:w="100"/>
            </w:tcMar>
          </w:tcPr>
          <w:p>
            <w:r>
              <w:rPr>
                <w:i/>
                <w:iCs/>
                <w:color w:val="595959"/>
                <w:sz w:val="21"/>
                <w:szCs w:val="21"/>
              </w:rPr>
              <w:t xml:space="preserve">[Raison sociale de l'entreprise]</w:t>
            </w:r>
          </w:p>
        </w:tc>
      </w:tr>
      <w:tr>
        <w:tc>
          <w:tcPr>
            <w:tcW w:type="dxa" w:w="4500"/>
          </w:tcPr>
          <w:p>
            <w:pPr>
              <w:spacing w:after="140" w:line="300"/>
            </w:pPr>
            <w:r>
              <w:rPr>
                <w:sz w:val="21"/>
                <w:szCs w:val="21"/>
              </w:rPr>
              <w:t xml:space="preserve">Forme juridique</w:t>
            </w:r>
          </w:p>
        </w:tc>
        <w:tc>
          <w:tcPr>
            <w:tcW w:type="dxa" w:w="4500"/>
            <w:tcMar>
              <w:top w:type="dxa" w:w="100"/>
              <w:left w:type="dxa" w:w="100"/>
              <w:bottom w:type="dxa" w:w="100"/>
              <w:right w:type="dxa" w:w="100"/>
            </w:tcMar>
          </w:tcPr>
          <w:p>
            <w:r>
              <w:rPr>
                <w:i/>
                <w:iCs/>
                <w:color w:val="595959"/>
                <w:sz w:val="21"/>
                <w:szCs w:val="21"/>
              </w:rPr>
              <w:t xml:space="preserve">[SARL / SAS / EI / EURL...]</w:t>
            </w:r>
          </w:p>
        </w:tc>
      </w:tr>
      <w:tr>
        <w:tc>
          <w:tcPr>
            <w:tcW w:type="dxa" w:w="4500"/>
          </w:tcPr>
          <w:p>
            <w:pPr>
              <w:spacing w:after="140" w:line="300"/>
            </w:pPr>
            <w:r>
              <w:rPr>
                <w:sz w:val="21"/>
                <w:szCs w:val="21"/>
              </w:rPr>
              <w:t xml:space="preserve">SIRET</w:t>
            </w:r>
          </w:p>
        </w:tc>
        <w:tc>
          <w:tcPr>
            <w:tcW w:type="dxa" w:w="4500"/>
            <w:tcMar>
              <w:top w:type="dxa" w:w="100"/>
              <w:left w:type="dxa" w:w="100"/>
              <w:bottom w:type="dxa" w:w="100"/>
              <w:right w:type="dxa" w:w="100"/>
            </w:tcMar>
          </w:tcPr>
          <w:p>
            <w:r>
              <w:rPr>
                <w:i/>
                <w:iCs/>
                <w:color w:val="595959"/>
                <w:sz w:val="21"/>
                <w:szCs w:val="21"/>
              </w:rPr>
              <w:t xml:space="preserve">[N° SIRET]</w:t>
            </w:r>
          </w:p>
        </w:tc>
      </w:tr>
      <w:tr>
        <w:tc>
          <w:tcPr>
            <w:tcW w:type="dxa" w:w="4500"/>
          </w:tcPr>
          <w:p>
            <w:pPr>
              <w:spacing w:after="140" w:line="300"/>
            </w:pPr>
            <w:r>
              <w:rPr>
                <w:sz w:val="21"/>
                <w:szCs w:val="21"/>
              </w:rPr>
              <w:t xml:space="preserve">Siège social</w:t>
            </w:r>
          </w:p>
        </w:tc>
        <w:tc>
          <w:tcPr>
            <w:tcW w:type="dxa" w:w="4500"/>
            <w:tcMar>
              <w:top w:type="dxa" w:w="100"/>
              <w:left w:type="dxa" w:w="100"/>
              <w:bottom w:type="dxa" w:w="100"/>
              <w:right w:type="dxa" w:w="100"/>
            </w:tcMar>
          </w:tcPr>
          <w:p>
            <w:r>
              <w:rPr>
                <w:i/>
                <w:iCs/>
                <w:color w:val="595959"/>
                <w:sz w:val="21"/>
                <w:szCs w:val="21"/>
              </w:rPr>
              <w:t xml:space="preserve">[Adresse complète]</w:t>
            </w:r>
          </w:p>
        </w:tc>
      </w:tr>
      <w:tr>
        <w:tc>
          <w:tcPr>
            <w:tcW w:type="dxa" w:w="4500"/>
          </w:tcPr>
          <w:p>
            <w:pPr>
              <w:spacing w:after="140" w:line="300"/>
            </w:pPr>
            <w:r>
              <w:rPr>
                <w:sz w:val="21"/>
                <w:szCs w:val="21"/>
              </w:rPr>
              <w:t xml:space="preserve">Représentant légal</w:t>
            </w:r>
          </w:p>
        </w:tc>
        <w:tc>
          <w:tcPr>
            <w:tcW w:type="dxa" w:w="4500"/>
            <w:tcMar>
              <w:top w:type="dxa" w:w="100"/>
              <w:left w:type="dxa" w:w="100"/>
              <w:bottom w:type="dxa" w:w="100"/>
              <w:right w:type="dxa" w:w="100"/>
            </w:tcMar>
          </w:tcPr>
          <w:p>
            <w:r>
              <w:rPr>
                <w:i/>
                <w:iCs/>
                <w:color w:val="595959"/>
                <w:sz w:val="21"/>
                <w:szCs w:val="21"/>
              </w:rPr>
              <w:t xml:space="preserve">[Nom, prénom, qualité]</w:t>
            </w:r>
          </w:p>
        </w:tc>
      </w:tr>
      <w:tr>
        <w:tc>
          <w:tcPr>
            <w:tcW w:type="dxa" w:w="4500"/>
          </w:tcPr>
          <w:p>
            <w:pPr>
              <w:spacing w:after="140" w:line="300"/>
            </w:pPr>
            <w:r>
              <w:rPr>
                <w:sz w:val="21"/>
                <w:szCs w:val="21"/>
              </w:rPr>
              <w:t xml:space="preserve">Assurance RC Pro / décennale</w:t>
            </w:r>
          </w:p>
        </w:tc>
        <w:tc>
          <w:tcPr>
            <w:tcW w:type="dxa" w:w="4500"/>
            <w:tcMar>
              <w:top w:type="dxa" w:w="100"/>
              <w:left w:type="dxa" w:w="100"/>
              <w:bottom w:type="dxa" w:w="100"/>
              <w:right w:type="dxa" w:w="100"/>
            </w:tcMar>
          </w:tcPr>
          <w:p>
            <w:r>
              <w:rPr>
                <w:i/>
                <w:iCs/>
                <w:color w:val="595959"/>
                <w:sz w:val="21"/>
                <w:szCs w:val="21"/>
              </w:rPr>
              <w:t xml:space="preserve">[Assureur, n° de police]</w:t>
            </w:r>
          </w:p>
        </w:tc>
      </w:tr>
      <w:tr>
        <w:tc>
          <w:tcPr>
            <w:tcW w:type="dxa" w:w="4500"/>
          </w:tcPr>
          <w:p>
            <w:pPr>
              <w:spacing w:after="140" w:line="300"/>
            </w:pPr>
            <w:r>
              <w:rPr>
                <w:sz w:val="21"/>
                <w:szCs w:val="21"/>
              </w:rPr>
              <w:t xml:space="preserve">Lot(s) / prestation(s) confié(s)</w:t>
            </w:r>
          </w:p>
        </w:tc>
        <w:tc>
          <w:tcPr>
            <w:tcW w:type="dxa" w:w="4500"/>
            <w:tcMar>
              <w:top w:type="dxa" w:w="100"/>
              <w:left w:type="dxa" w:w="100"/>
              <w:bottom w:type="dxa" w:w="100"/>
              <w:right w:type="dxa" w:w="100"/>
            </w:tcMar>
          </w:tcPr>
          <w:p>
            <w:r>
              <w:rPr>
                <w:i/>
                <w:iCs/>
                <w:color w:val="595959"/>
                <w:sz w:val="21"/>
                <w:szCs w:val="21"/>
              </w:rPr>
              <w:t xml:space="preserve">[Description du lot]</w:t>
            </w:r>
          </w:p>
        </w:tc>
      </w:tr>
      <w:tr>
        <w:tc>
          <w:tcPr>
            <w:tcW w:type="dxa" w:w="4500"/>
          </w:tcPr>
          <w:p>
            <w:pPr>
              <w:spacing w:after="140" w:line="300"/>
            </w:pPr>
            <w:r>
              <w:rPr>
                <w:sz w:val="21"/>
                <w:szCs w:val="21"/>
              </w:rPr>
              <w:t xml:space="preserve">Part du marché (%)</w:t>
            </w:r>
          </w:p>
        </w:tc>
        <w:tc>
          <w:tcPr>
            <w:tcW w:type="dxa" w:w="4500"/>
            <w:tcMar>
              <w:top w:type="dxa" w:w="100"/>
              <w:left w:type="dxa" w:w="100"/>
              <w:bottom w:type="dxa" w:w="100"/>
              <w:right w:type="dxa" w:w="100"/>
            </w:tcMar>
          </w:tcPr>
          <w:p>
            <w:r>
              <w:rPr>
                <w:i/>
                <w:iCs/>
                <w:color w:val="595959"/>
                <w:sz w:val="21"/>
                <w:szCs w:val="21"/>
              </w:rPr>
              <w:t xml:space="preserve">[  %]</w:t>
            </w:r>
          </w:p>
        </w:tc>
      </w:tr>
    </w:tbl>
    <w:p>
      <w:pPr>
        <w:spacing w:after="20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1F3B57" w:val="clear"/>
            <w:tcMar>
              <w:top w:type="dxa" w:w="80"/>
              <w:left w:type="dxa" w:w="100"/>
              <w:bottom w:type="dxa" w:w="80"/>
              <w:right w:type="dxa" w:w="100"/>
            </w:tcMar>
          </w:tcPr>
          <w:p>
            <w:r>
              <w:rPr>
                <w:b/>
                <w:bCs/>
                <w:color w:val="FFFFFF"/>
                <w:sz w:val="19"/>
                <w:szCs w:val="19"/>
              </w:rPr>
              <w:t xml:space="preserve">Champ</w:t>
            </w:r>
          </w:p>
        </w:tc>
        <w:tc>
          <w:tcPr>
            <w:tcW w:type="dxa" w:w="4500"/>
            <w:shd w:fill="1F3B57" w:val="clear"/>
            <w:tcMar>
              <w:top w:type="dxa" w:w="80"/>
              <w:left w:type="dxa" w:w="100"/>
              <w:bottom w:type="dxa" w:w="80"/>
              <w:right w:type="dxa" w:w="100"/>
            </w:tcMar>
          </w:tcPr>
          <w:p>
            <w:r>
              <w:rPr>
                <w:b/>
                <w:bCs/>
                <w:color w:val="FFFFFF"/>
                <w:sz w:val="19"/>
                <w:szCs w:val="19"/>
              </w:rPr>
              <w:t xml:space="preserve">Cotraitant n°2</w:t>
            </w:r>
          </w:p>
        </w:tc>
      </w:tr>
      <w:tr>
        <w:tc>
          <w:tcPr>
            <w:tcW w:type="dxa" w:w="4500"/>
          </w:tcPr>
          <w:p>
            <w:pPr>
              <w:spacing w:after="140" w:line="300"/>
            </w:pPr>
            <w:r>
              <w:rPr>
                <w:sz w:val="21"/>
                <w:szCs w:val="21"/>
              </w:rPr>
              <w:t xml:space="preserve">Dénomination sociale</w:t>
            </w:r>
          </w:p>
        </w:tc>
        <w:tc>
          <w:tcPr>
            <w:tcW w:type="dxa" w:w="4500"/>
            <w:tcMar>
              <w:top w:type="dxa" w:w="100"/>
              <w:left w:type="dxa" w:w="100"/>
              <w:bottom w:type="dxa" w:w="100"/>
              <w:right w:type="dxa" w:w="100"/>
            </w:tcMar>
          </w:tcPr>
          <w:p>
            <w:r>
              <w:rPr>
                <w:i/>
                <w:iCs/>
                <w:color w:val="595959"/>
                <w:sz w:val="21"/>
                <w:szCs w:val="21"/>
              </w:rPr>
              <w:t xml:space="preserve">[Raison sociale de l'entreprise]</w:t>
            </w:r>
          </w:p>
        </w:tc>
      </w:tr>
      <w:tr>
        <w:tc>
          <w:tcPr>
            <w:tcW w:type="dxa" w:w="4500"/>
          </w:tcPr>
          <w:p>
            <w:pPr>
              <w:spacing w:after="140" w:line="300"/>
            </w:pPr>
            <w:r>
              <w:rPr>
                <w:sz w:val="21"/>
                <w:szCs w:val="21"/>
              </w:rPr>
              <w:t xml:space="preserve">Forme juridique</w:t>
            </w:r>
          </w:p>
        </w:tc>
        <w:tc>
          <w:tcPr>
            <w:tcW w:type="dxa" w:w="4500"/>
            <w:tcMar>
              <w:top w:type="dxa" w:w="100"/>
              <w:left w:type="dxa" w:w="100"/>
              <w:bottom w:type="dxa" w:w="100"/>
              <w:right w:type="dxa" w:w="100"/>
            </w:tcMar>
          </w:tcPr>
          <w:p>
            <w:r>
              <w:rPr>
                <w:i/>
                <w:iCs/>
                <w:color w:val="595959"/>
                <w:sz w:val="21"/>
                <w:szCs w:val="21"/>
              </w:rPr>
              <w:t xml:space="preserve">[SARL / SAS / EI / EURL...]</w:t>
            </w:r>
          </w:p>
        </w:tc>
      </w:tr>
      <w:tr>
        <w:tc>
          <w:tcPr>
            <w:tcW w:type="dxa" w:w="4500"/>
          </w:tcPr>
          <w:p>
            <w:pPr>
              <w:spacing w:after="140" w:line="300"/>
            </w:pPr>
            <w:r>
              <w:rPr>
                <w:sz w:val="21"/>
                <w:szCs w:val="21"/>
              </w:rPr>
              <w:t xml:space="preserve">SIRET</w:t>
            </w:r>
          </w:p>
        </w:tc>
        <w:tc>
          <w:tcPr>
            <w:tcW w:type="dxa" w:w="4500"/>
            <w:tcMar>
              <w:top w:type="dxa" w:w="100"/>
              <w:left w:type="dxa" w:w="100"/>
              <w:bottom w:type="dxa" w:w="100"/>
              <w:right w:type="dxa" w:w="100"/>
            </w:tcMar>
          </w:tcPr>
          <w:p>
            <w:r>
              <w:rPr>
                <w:i/>
                <w:iCs/>
                <w:color w:val="595959"/>
                <w:sz w:val="21"/>
                <w:szCs w:val="21"/>
              </w:rPr>
              <w:t xml:space="preserve">[N° SIRET]</w:t>
            </w:r>
          </w:p>
        </w:tc>
      </w:tr>
      <w:tr>
        <w:tc>
          <w:tcPr>
            <w:tcW w:type="dxa" w:w="4500"/>
          </w:tcPr>
          <w:p>
            <w:pPr>
              <w:spacing w:after="140" w:line="300"/>
            </w:pPr>
            <w:r>
              <w:rPr>
                <w:sz w:val="21"/>
                <w:szCs w:val="21"/>
              </w:rPr>
              <w:t xml:space="preserve">Siège social</w:t>
            </w:r>
          </w:p>
        </w:tc>
        <w:tc>
          <w:tcPr>
            <w:tcW w:type="dxa" w:w="4500"/>
            <w:tcMar>
              <w:top w:type="dxa" w:w="100"/>
              <w:left w:type="dxa" w:w="100"/>
              <w:bottom w:type="dxa" w:w="100"/>
              <w:right w:type="dxa" w:w="100"/>
            </w:tcMar>
          </w:tcPr>
          <w:p>
            <w:r>
              <w:rPr>
                <w:i/>
                <w:iCs/>
                <w:color w:val="595959"/>
                <w:sz w:val="21"/>
                <w:szCs w:val="21"/>
              </w:rPr>
              <w:t xml:space="preserve">[Adresse complète]</w:t>
            </w:r>
          </w:p>
        </w:tc>
      </w:tr>
      <w:tr>
        <w:tc>
          <w:tcPr>
            <w:tcW w:type="dxa" w:w="4500"/>
          </w:tcPr>
          <w:p>
            <w:pPr>
              <w:spacing w:after="140" w:line="300"/>
            </w:pPr>
            <w:r>
              <w:rPr>
                <w:sz w:val="21"/>
                <w:szCs w:val="21"/>
              </w:rPr>
              <w:t xml:space="preserve">Représentant légal</w:t>
            </w:r>
          </w:p>
        </w:tc>
        <w:tc>
          <w:tcPr>
            <w:tcW w:type="dxa" w:w="4500"/>
            <w:tcMar>
              <w:top w:type="dxa" w:w="100"/>
              <w:left w:type="dxa" w:w="100"/>
              <w:bottom w:type="dxa" w:w="100"/>
              <w:right w:type="dxa" w:w="100"/>
            </w:tcMar>
          </w:tcPr>
          <w:p>
            <w:r>
              <w:rPr>
                <w:i/>
                <w:iCs/>
                <w:color w:val="595959"/>
                <w:sz w:val="21"/>
                <w:szCs w:val="21"/>
              </w:rPr>
              <w:t xml:space="preserve">[Nom, prénom, qualité]</w:t>
            </w:r>
          </w:p>
        </w:tc>
      </w:tr>
      <w:tr>
        <w:tc>
          <w:tcPr>
            <w:tcW w:type="dxa" w:w="4500"/>
          </w:tcPr>
          <w:p>
            <w:pPr>
              <w:spacing w:after="140" w:line="300"/>
            </w:pPr>
            <w:r>
              <w:rPr>
                <w:sz w:val="21"/>
                <w:szCs w:val="21"/>
              </w:rPr>
              <w:t xml:space="preserve">Assurance RC Pro / décennale</w:t>
            </w:r>
          </w:p>
        </w:tc>
        <w:tc>
          <w:tcPr>
            <w:tcW w:type="dxa" w:w="4500"/>
            <w:tcMar>
              <w:top w:type="dxa" w:w="100"/>
              <w:left w:type="dxa" w:w="100"/>
              <w:bottom w:type="dxa" w:w="100"/>
              <w:right w:type="dxa" w:w="100"/>
            </w:tcMar>
          </w:tcPr>
          <w:p>
            <w:r>
              <w:rPr>
                <w:i/>
                <w:iCs/>
                <w:color w:val="595959"/>
                <w:sz w:val="21"/>
                <w:szCs w:val="21"/>
              </w:rPr>
              <w:t xml:space="preserve">[Assureur, n° de police]</w:t>
            </w:r>
          </w:p>
        </w:tc>
      </w:tr>
      <w:tr>
        <w:tc>
          <w:tcPr>
            <w:tcW w:type="dxa" w:w="4500"/>
          </w:tcPr>
          <w:p>
            <w:pPr>
              <w:spacing w:after="140" w:line="300"/>
            </w:pPr>
            <w:r>
              <w:rPr>
                <w:sz w:val="21"/>
                <w:szCs w:val="21"/>
              </w:rPr>
              <w:t xml:space="preserve">Lot(s) / prestation(s) confié(s)</w:t>
            </w:r>
          </w:p>
        </w:tc>
        <w:tc>
          <w:tcPr>
            <w:tcW w:type="dxa" w:w="4500"/>
            <w:tcMar>
              <w:top w:type="dxa" w:w="100"/>
              <w:left w:type="dxa" w:w="100"/>
              <w:bottom w:type="dxa" w:w="100"/>
              <w:right w:type="dxa" w:w="100"/>
            </w:tcMar>
          </w:tcPr>
          <w:p>
            <w:r>
              <w:rPr>
                <w:i/>
                <w:iCs/>
                <w:color w:val="595959"/>
                <w:sz w:val="21"/>
                <w:szCs w:val="21"/>
              </w:rPr>
              <w:t xml:space="preserve">[Description du lot]</w:t>
            </w:r>
          </w:p>
        </w:tc>
      </w:tr>
      <w:tr>
        <w:tc>
          <w:tcPr>
            <w:tcW w:type="dxa" w:w="4500"/>
          </w:tcPr>
          <w:p>
            <w:pPr>
              <w:spacing w:after="140" w:line="300"/>
            </w:pPr>
            <w:r>
              <w:rPr>
                <w:sz w:val="21"/>
                <w:szCs w:val="21"/>
              </w:rPr>
              <w:t xml:space="preserve">Part du marché (%)</w:t>
            </w:r>
          </w:p>
        </w:tc>
        <w:tc>
          <w:tcPr>
            <w:tcW w:type="dxa" w:w="4500"/>
            <w:tcMar>
              <w:top w:type="dxa" w:w="100"/>
              <w:left w:type="dxa" w:w="100"/>
              <w:bottom w:type="dxa" w:w="100"/>
              <w:right w:type="dxa" w:w="100"/>
            </w:tcMar>
          </w:tcPr>
          <w:p>
            <w:r>
              <w:rPr>
                <w:i/>
                <w:iCs/>
                <w:color w:val="595959"/>
                <w:sz w:val="21"/>
                <w:szCs w:val="21"/>
              </w:rPr>
              <w:t xml:space="preserve">[  %]</w:t>
            </w:r>
          </w:p>
        </w:tc>
      </w:tr>
    </w:tbl>
    <w:p>
      <w:pPr>
        <w:spacing w:after="100"/>
      </w:pPr>
    </w:p>
    <w:p>
      <w:pPr>
        <w:spacing w:after="140" w:line="300"/>
      </w:pPr>
      <w:r>
        <w:rPr>
          <w:i/>
          <w:iCs/>
          <w:color w:val="595959"/>
          <w:sz w:val="21"/>
          <w:szCs w:val="21"/>
        </w:rPr>
        <w:t xml:space="preserve">(Dupliquer le tableau ci-dessus pour chaque cotraitant supplémentaire.)</w:t>
      </w:r>
    </w:p>
    <w:p>
      <w:pPr>
        <w:spacing w:after="100" w:before="160"/>
      </w:pPr>
      <w:r>
        <w:rPr>
          <w:b/>
          <w:bCs/>
          <w:color w:val="1F3B57"/>
          <w:sz w:val="21"/>
          <w:szCs w:val="21"/>
        </w:rPr>
        <w:t xml:space="preserve">IL A ÉTÉ CONVENU CE QUI SUIT :</w:t>
      </w:r>
    </w:p>
    <w:p>
      <w:pPr>
        <w:pStyle w:val="Heading1"/>
        <w:pBdr>
          <w:bottom w:val="single" w:color="1591F0" w:sz="6" w:space="4"/>
        </w:pBdr>
        <w:spacing w:after="140" w:before="320"/>
      </w:pPr>
      <w:r>
        <w:rPr>
          <w:b/>
          <w:bCs/>
          <w:color w:val="1F3B57"/>
          <w:sz w:val="24"/>
          <w:szCs w:val="24"/>
        </w:rPr>
        <w:t xml:space="preserve">Article 1 — </w:t>
      </w:r>
      <w:r>
        <w:rPr>
          <w:b/>
          <w:bCs/>
          <w:color w:val="1F3B57"/>
          <w:sz w:val="24"/>
          <w:szCs w:val="24"/>
        </w:rPr>
        <w:t xml:space="preserve">Objet de la convention</w:t>
      </w:r>
    </w:p>
    <w:p>
      <w:pPr>
        <w:spacing w:after="140" w:line="300"/>
      </w:pPr>
      <w:r>
        <w:rPr>
          <w:sz w:val="21"/>
          <w:szCs w:val="21"/>
        </w:rPr>
        <w:t xml:space="preserve">La présente convention a pour objet de définir les conditions dans lesquelles les Cotraitants s'associent au sein d'un Groupement Momentané d'Entreprises (GME) en vue de répondre à l'appel d'offres et d'exécuter, le cas échéant, le marché suivant :</w:t>
      </w:r>
    </w:p>
    <w:p>
      <w:pPr>
        <w:pStyle w:val="ListParagraph"/>
        <w:numPr>
          <w:ilvl w:val="0"/>
          <w:numId w:val="2"/>
        </w:numPr>
        <w:spacing w:after="80"/>
      </w:pPr>
      <w:r>
        <w:rPr>
          <w:sz w:val="21"/>
          <w:szCs w:val="21"/>
        </w:rPr>
        <w:t xml:space="preserve">Objet du marché : [Description du chantier / des travaux]</w:t>
      </w:r>
    </w:p>
    <w:p>
      <w:pPr>
        <w:pStyle w:val="ListParagraph"/>
        <w:numPr>
          <w:ilvl w:val="0"/>
          <w:numId w:val="2"/>
        </w:numPr>
        <w:spacing w:after="80"/>
      </w:pPr>
      <w:r>
        <w:rPr>
          <w:sz w:val="21"/>
          <w:szCs w:val="21"/>
        </w:rPr>
        <w:t xml:space="preserve">Maître d'ouvrage : [Nom du maître d'ouvrage]</w:t>
      </w:r>
    </w:p>
    <w:p>
      <w:pPr>
        <w:pStyle w:val="ListParagraph"/>
        <w:numPr>
          <w:ilvl w:val="0"/>
          <w:numId w:val="2"/>
        </w:numPr>
        <w:spacing w:after="80"/>
      </w:pPr>
      <w:r>
        <w:rPr>
          <w:sz w:val="21"/>
          <w:szCs w:val="21"/>
        </w:rPr>
        <w:t xml:space="preserve">Lieu d'exécution : [Adresse du chantier]</w:t>
      </w:r>
    </w:p>
    <w:p>
      <w:pPr>
        <w:pStyle w:val="ListParagraph"/>
        <w:numPr>
          <w:ilvl w:val="0"/>
          <w:numId w:val="2"/>
        </w:numPr>
        <w:spacing w:after="80"/>
      </w:pPr>
      <w:r>
        <w:rPr>
          <w:sz w:val="21"/>
          <w:szCs w:val="21"/>
        </w:rPr>
        <w:t xml:space="preserve">Référence de la consultation / de l'appel d'offres : [Référence]</w:t>
      </w:r>
    </w:p>
    <w:p>
      <w:pPr>
        <w:pStyle w:val="ListParagraph"/>
        <w:numPr>
          <w:ilvl w:val="0"/>
          <w:numId w:val="2"/>
        </w:numPr>
        <w:spacing w:after="80"/>
      </w:pPr>
      <w:r>
        <w:rPr>
          <w:sz w:val="21"/>
          <w:szCs w:val="21"/>
        </w:rPr>
        <w:t xml:space="preserve">Montant estimatif du marché : [Montant en € HT]</w:t>
      </w:r>
    </w:p>
    <w:p>
      <w:pPr>
        <w:pStyle w:val="Heading1"/>
        <w:pBdr>
          <w:bottom w:val="single" w:color="1591F0" w:sz="6" w:space="4"/>
        </w:pBdr>
        <w:spacing w:after="140" w:before="320"/>
      </w:pPr>
      <w:r>
        <w:rPr>
          <w:b/>
          <w:bCs/>
          <w:color w:val="1F3B57"/>
          <w:sz w:val="24"/>
          <w:szCs w:val="24"/>
        </w:rPr>
        <w:t xml:space="preserve">Article 2 — </w:t>
      </w:r>
      <w:r>
        <w:rPr>
          <w:b/>
          <w:bCs/>
          <w:color w:val="1F3B57"/>
          <w:sz w:val="24"/>
          <w:szCs w:val="24"/>
        </w:rPr>
        <w:t xml:space="preserve">Forme du groupement</w:t>
      </w:r>
    </w:p>
    <w:p>
      <w:pPr>
        <w:spacing w:after="140" w:line="300"/>
      </w:pPr>
      <w:r>
        <w:rPr>
          <w:sz w:val="21"/>
          <w:szCs w:val="21"/>
        </w:rPr>
        <w:t xml:space="preserve">Conformément à l'article R2142-19 et suivants du Code de la commande publique, les Cotraitants choisissent la forme de groupement suivante (cocher la case correspondante) :</w:t>
      </w:r>
    </w:p>
    <w:p>
      <w:pPr>
        <w:spacing w:after="100"/>
      </w:pPr>
      <w:r>
        <w:rPr>
          <w:sz w:val="24"/>
          <w:szCs w:val="24"/>
        </w:rPr>
        <w:t xml:space="preserve">☐  </w:t>
      </w:r>
      <w:r>
        <w:rPr>
          <w:sz w:val="21"/>
          <w:szCs w:val="21"/>
        </w:rPr>
        <w:t xml:space="preserve">Groupement conjoint : chaque Cotraitant n'est responsable que de l'exécution de ses propres prestations.</w:t>
      </w:r>
    </w:p>
    <w:p>
      <w:pPr>
        <w:spacing w:after="100"/>
      </w:pPr>
      <w:r>
        <w:rPr>
          <w:sz w:val="24"/>
          <w:szCs w:val="24"/>
        </w:rPr>
        <w:t xml:space="preserve">☐  </w:t>
      </w:r>
      <w:r>
        <w:rPr>
          <w:sz w:val="21"/>
          <w:szCs w:val="21"/>
        </w:rPr>
        <w:t xml:space="preserve">Groupement solidaire : chaque Cotraitant est engagé pour la totalité du marché et solidaire des autres membres en cas de défaillance.</w:t>
      </w:r>
    </w:p>
    <w:p>
      <w:pPr>
        <w:spacing w:after="100"/>
      </w:pPr>
      <w:r>
        <w:rPr>
          <w:sz w:val="24"/>
          <w:szCs w:val="24"/>
        </w:rPr>
        <w:t xml:space="preserve">☐  </w:t>
      </w:r>
      <w:r>
        <w:rPr>
          <w:sz w:val="21"/>
          <w:szCs w:val="21"/>
        </w:rPr>
        <w:t xml:space="preserve">Groupement conjoint avec mandataire solidaire : le groupement est conjoint, mais le mandataire est solidaire de chacun des autres membres à l'égard du maître d'ouvrage.</w:t>
      </w:r>
    </w:p>
    <w:p>
      <w:pPr>
        <w:spacing w:after="140" w:line="300"/>
      </w:pPr>
      <w:r>
        <w:rPr>
          <w:b/>
          <w:bCs/>
          <w:sz w:val="21"/>
          <w:szCs w:val="21"/>
        </w:rPr>
        <w:t xml:space="preserve">Rappel : </w:t>
      </w:r>
      <w:r>
        <w:rPr>
          <w:sz w:val="21"/>
          <w:szCs w:val="21"/>
        </w:rPr>
        <w:t xml:space="preserve">le GME ne dispose pas de la personnalité morale. Il n'a ni actif, ni passif, ni comptabilité propre. Chaque Cotraitant conserve son autonomie juridique, sociale et fiscale.</w:t>
      </w:r>
    </w:p>
    <w:p>
      <w:pPr>
        <w:pStyle w:val="Heading1"/>
        <w:pBdr>
          <w:bottom w:val="single" w:color="1591F0" w:sz="6" w:space="4"/>
        </w:pBdr>
        <w:spacing w:after="140" w:before="320"/>
      </w:pPr>
      <w:r>
        <w:rPr>
          <w:b/>
          <w:bCs/>
          <w:color w:val="1F3B57"/>
          <w:sz w:val="24"/>
          <w:szCs w:val="24"/>
        </w:rPr>
        <w:t xml:space="preserve">Article 3 — </w:t>
      </w:r>
      <w:r>
        <w:rPr>
          <w:b/>
          <w:bCs/>
          <w:color w:val="1F3B57"/>
          <w:sz w:val="24"/>
          <w:szCs w:val="24"/>
        </w:rPr>
        <w:t xml:space="preserve">Désignation et missions du mandataire</w:t>
      </w:r>
    </w:p>
    <w:p>
      <w:pPr>
        <w:spacing w:after="140" w:line="300"/>
      </w:pPr>
      <w:r>
        <w:t xml:space="preserve">Est désigné mandataire du groupement : </w:t>
      </w:r>
      <w:r>
        <w:rPr>
          <w:i/>
          <w:iCs/>
          <w:color w:val="595959"/>
          <w:sz w:val="21"/>
          <w:szCs w:val="21"/>
        </w:rPr>
        <w:t xml:space="preserve">[Nom de l'entreprise mandataire]</w:t>
      </w:r>
    </w:p>
    <w:p>
      <w:pPr>
        <w:spacing w:after="140" w:line="300"/>
      </w:pPr>
      <w:r>
        <w:rPr>
          <w:sz w:val="21"/>
          <w:szCs w:val="21"/>
        </w:rPr>
        <w:t xml:space="preserve">Le mandataire est notamment chargé des missions suivantes :</w:t>
      </w:r>
    </w:p>
    <w:p>
      <w:pPr>
        <w:pStyle w:val="ListParagraph"/>
        <w:numPr>
          <w:ilvl w:val="0"/>
          <w:numId w:val="2"/>
        </w:numPr>
        <w:spacing w:after="80"/>
      </w:pPr>
      <w:r>
        <w:rPr>
          <w:sz w:val="21"/>
          <w:szCs w:val="21"/>
        </w:rPr>
        <w:t xml:space="preserve">Représenter l'ensemble des Cotraitants auprès du maître d'ouvrage pendant toute la durée du marché ;</w:t>
      </w:r>
    </w:p>
    <w:p>
      <w:pPr>
        <w:pStyle w:val="ListParagraph"/>
        <w:numPr>
          <w:ilvl w:val="0"/>
          <w:numId w:val="2"/>
        </w:numPr>
        <w:spacing w:after="80"/>
      </w:pPr>
      <w:r>
        <w:rPr>
          <w:sz w:val="21"/>
          <w:szCs w:val="21"/>
        </w:rPr>
        <w:t xml:space="preserve">Signer et transmettre les documents de candidature et d'offre (DC1, DC2, mémoire technique) ;</w:t>
      </w:r>
    </w:p>
    <w:p>
      <w:pPr>
        <w:pStyle w:val="ListParagraph"/>
        <w:numPr>
          <w:ilvl w:val="0"/>
          <w:numId w:val="2"/>
        </w:numPr>
        <w:spacing w:after="80"/>
      </w:pPr>
      <w:r>
        <w:rPr>
          <w:sz w:val="21"/>
          <w:szCs w:val="21"/>
        </w:rPr>
        <w:t xml:space="preserve">Coordonner l'exécution des travaux entre les différents Cotraitants ;</w:t>
      </w:r>
    </w:p>
    <w:p>
      <w:pPr>
        <w:pStyle w:val="ListParagraph"/>
        <w:numPr>
          <w:ilvl w:val="0"/>
          <w:numId w:val="2"/>
        </w:numPr>
        <w:spacing w:after="80"/>
      </w:pPr>
      <w:r>
        <w:rPr>
          <w:sz w:val="21"/>
          <w:szCs w:val="21"/>
        </w:rPr>
        <w:t xml:space="preserve">Centraliser les communications avec le maître d'œuvre et le maître d'ouvrage ;</w:t>
      </w:r>
    </w:p>
    <w:p>
      <w:pPr>
        <w:pStyle w:val="ListParagraph"/>
        <w:numPr>
          <w:ilvl w:val="0"/>
          <w:numId w:val="2"/>
        </w:numPr>
        <w:spacing w:after="80"/>
      </w:pPr>
      <w:r>
        <w:rPr>
          <w:sz w:val="21"/>
          <w:szCs w:val="21"/>
        </w:rPr>
        <w:t xml:space="preserve">[Le cas échéant] Percevoir les paiements sur le compte commun et procéder à leur répartition ;</w:t>
      </w:r>
    </w:p>
    <w:p>
      <w:pPr>
        <w:pStyle w:val="ListParagraph"/>
        <w:numPr>
          <w:ilvl w:val="0"/>
          <w:numId w:val="2"/>
        </w:numPr>
        <w:spacing w:after="80"/>
      </w:pPr>
      <w:r>
        <w:rPr>
          <w:sz w:val="21"/>
          <w:szCs w:val="21"/>
        </w:rPr>
        <w:t xml:space="preserve">Alerter les autres Cotraitants en cas de difficulté d'exécution ou de risque de litige.</w:t>
      </w:r>
    </w:p>
    <w:p>
      <w:pPr>
        <w:pStyle w:val="Heading1"/>
        <w:pBdr>
          <w:bottom w:val="single" w:color="1591F0" w:sz="6" w:space="4"/>
        </w:pBdr>
        <w:spacing w:after="140" w:before="320"/>
      </w:pPr>
      <w:r>
        <w:rPr>
          <w:b/>
          <w:bCs/>
          <w:color w:val="1F3B57"/>
          <w:sz w:val="24"/>
          <w:szCs w:val="24"/>
        </w:rPr>
        <w:t xml:space="preserve">Article 4 — </w:t>
      </w:r>
      <w:r>
        <w:rPr>
          <w:b/>
          <w:bCs/>
          <w:color w:val="1F3B57"/>
          <w:sz w:val="24"/>
          <w:szCs w:val="24"/>
        </w:rPr>
        <w:t xml:space="preserve">Répartition des prestations et responsabilités</w:t>
      </w:r>
    </w:p>
    <w:p>
      <w:pPr>
        <w:spacing w:after="140" w:line="300"/>
      </w:pPr>
      <w:r>
        <w:rPr>
          <w:sz w:val="21"/>
          <w:szCs w:val="21"/>
        </w:rPr>
        <w:t xml:space="preserve">La répartition des prestations entre les Cotraitants est établie comme suit (se référer également au tableau des parties en préambule) :</w:t>
      </w:r>
    </w:p>
    <w:p>
      <w:pPr>
        <w:pStyle w:val="ListParagraph"/>
        <w:numPr>
          <w:ilvl w:val="0"/>
          <w:numId w:val="2"/>
        </w:numPr>
        <w:spacing w:after="80"/>
      </w:pPr>
      <w:r>
        <w:rPr>
          <w:sz w:val="21"/>
          <w:szCs w:val="21"/>
        </w:rPr>
        <w:t xml:space="preserve">Cotraitant 1 : [Description détaillée du lot / des tâches]</w:t>
      </w:r>
    </w:p>
    <w:p>
      <w:pPr>
        <w:pStyle w:val="ListParagraph"/>
        <w:numPr>
          <w:ilvl w:val="0"/>
          <w:numId w:val="2"/>
        </w:numPr>
        <w:spacing w:after="80"/>
      </w:pPr>
      <w:r>
        <w:rPr>
          <w:sz w:val="21"/>
          <w:szCs w:val="21"/>
        </w:rPr>
        <w:t xml:space="preserve">Cotraitant 2 : [Description détaillée du lot / des tâches]</w:t>
      </w:r>
    </w:p>
    <w:p>
      <w:pPr>
        <w:spacing w:after="140" w:line="300"/>
      </w:pPr>
      <w:r>
        <w:rPr>
          <w:sz w:val="21"/>
          <w:szCs w:val="21"/>
        </w:rPr>
        <w:t xml:space="preserve">Chaque Cotraitant s'engage à exécuter sa part des prestations dans le respect des délais, des règles de l'art et des documents contractuels du marché (CCAP, CCTP, planning d'exécution).</w:t>
      </w:r>
    </w:p>
    <w:p>
      <w:pPr>
        <w:pStyle w:val="Heading1"/>
        <w:pBdr>
          <w:bottom w:val="single" w:color="1591F0" w:sz="6" w:space="4"/>
        </w:pBdr>
        <w:spacing w:after="140" w:before="320"/>
      </w:pPr>
      <w:r>
        <w:rPr>
          <w:b/>
          <w:bCs/>
          <w:color w:val="1F3B57"/>
          <w:sz w:val="24"/>
          <w:szCs w:val="24"/>
        </w:rPr>
        <w:t xml:space="preserve">Article 5 — </w:t>
      </w:r>
      <w:r>
        <w:rPr>
          <w:b/>
          <w:bCs/>
          <w:color w:val="1F3B57"/>
          <w:sz w:val="24"/>
          <w:szCs w:val="24"/>
        </w:rPr>
        <w:t xml:space="preserve">Modalités financières et rémunération</w:t>
      </w:r>
    </w:p>
    <w:p>
      <w:pPr>
        <w:spacing w:after="140" w:line="300"/>
      </w:pPr>
      <w:r>
        <w:rPr>
          <w:sz w:val="21"/>
          <w:szCs w:val="21"/>
        </w:rPr>
        <w:t xml:space="preserve">Le montant global du marché est réparti entre les Cotraitants de la manière suivante :</w:t>
      </w:r>
    </w:p>
    <w:p>
      <w:pPr>
        <w:pStyle w:val="ListParagraph"/>
        <w:numPr>
          <w:ilvl w:val="0"/>
          <w:numId w:val="2"/>
        </w:numPr>
        <w:spacing w:after="80"/>
      </w:pPr>
      <w:r>
        <w:rPr>
          <w:sz w:val="21"/>
          <w:szCs w:val="21"/>
        </w:rPr>
        <w:t xml:space="preserve">Cotraitant 1 : [Montant en € HT] soit [  %] du marché</w:t>
      </w:r>
    </w:p>
    <w:p>
      <w:pPr>
        <w:pStyle w:val="ListParagraph"/>
        <w:numPr>
          <w:ilvl w:val="0"/>
          <w:numId w:val="2"/>
        </w:numPr>
        <w:spacing w:after="80"/>
      </w:pPr>
      <w:r>
        <w:rPr>
          <w:sz w:val="21"/>
          <w:szCs w:val="21"/>
        </w:rPr>
        <w:t xml:space="preserve">Cotraitant 2 : [Montant en € HT] soit [  %] du marché</w:t>
      </w:r>
    </w:p>
    <w:p>
      <w:pPr>
        <w:spacing w:after="140" w:line="300"/>
      </w:pPr>
      <w:r>
        <w:rPr>
          <w:b/>
          <w:bCs/>
        </w:rPr>
        <w:t xml:space="preserve">Facturation : </w:t>
      </w:r>
      <w:r>
        <w:t xml:space="preserve">en groupement conjoint, chaque Cotraitant établit et transmet sa propre facture, conforme aux obligations de facturation électronique en vigueur, à hauteur de sa part de prestation. En groupement solidaire, les modalités de facturation et de répartition via le compte commun sont précisées à l'article 6.</w:t>
      </w:r>
    </w:p>
    <w:p>
      <w:pPr>
        <w:pStyle w:val="Heading1"/>
        <w:pBdr>
          <w:bottom w:val="single" w:color="1591F0" w:sz="6" w:space="4"/>
        </w:pBdr>
        <w:spacing w:after="140" w:before="320"/>
      </w:pPr>
      <w:r>
        <w:rPr>
          <w:b/>
          <w:bCs/>
          <w:color w:val="1F3B57"/>
          <w:sz w:val="24"/>
          <w:szCs w:val="24"/>
        </w:rPr>
        <w:t xml:space="preserve">Article 6 — </w:t>
      </w:r>
      <w:r>
        <w:rPr>
          <w:b/>
          <w:bCs/>
          <w:color w:val="1F3B57"/>
          <w:sz w:val="24"/>
          <w:szCs w:val="24"/>
        </w:rPr>
        <w:t xml:space="preserve">Compte commun et modalités de paiement</w:t>
      </w:r>
    </w:p>
    <w:p>
      <w:pPr>
        <w:spacing w:after="140" w:line="300"/>
      </w:pPr>
      <w:r>
        <w:rPr>
          <w:sz w:val="21"/>
          <w:szCs w:val="21"/>
        </w:rPr>
        <w:t xml:space="preserve">[À compléter en cas de groupement solidaire, sauf disposition contraire du CCAG applicable]</w:t>
      </w:r>
    </w:p>
    <w:p>
      <w:pPr>
        <w:pStyle w:val="ListParagraph"/>
        <w:numPr>
          <w:ilvl w:val="0"/>
          <w:numId w:val="2"/>
        </w:numPr>
        <w:spacing w:after="80"/>
      </w:pPr>
      <w:r>
        <w:rPr>
          <w:sz w:val="21"/>
          <w:szCs w:val="21"/>
        </w:rPr>
        <w:t xml:space="preserve">Un compte commun est ouvert au nom : ☐ du mandataire seul   ☐ de l'ensemble des Cotraitants</w:t>
      </w:r>
    </w:p>
    <w:p>
      <w:pPr>
        <w:pStyle w:val="ListParagraph"/>
        <w:numPr>
          <w:ilvl w:val="0"/>
          <w:numId w:val="2"/>
        </w:numPr>
        <w:spacing w:after="80"/>
      </w:pPr>
      <w:r>
        <w:rPr>
          <w:sz w:val="21"/>
          <w:szCs w:val="21"/>
        </w:rPr>
        <w:t xml:space="preserve">Banque et coordonnées du compte : [IBAN / établissement]</w:t>
      </w:r>
    </w:p>
    <w:p>
      <w:pPr>
        <w:pStyle w:val="ListParagraph"/>
        <w:numPr>
          <w:ilvl w:val="0"/>
          <w:numId w:val="2"/>
        </w:numPr>
        <w:spacing w:after="80"/>
      </w:pPr>
      <w:r>
        <w:rPr>
          <w:sz w:val="21"/>
          <w:szCs w:val="21"/>
        </w:rPr>
        <w:t xml:space="preserve">Modalités de répartition des sommes perçues : [Détail : au prorata, sur justificatifs, selon échéancier...]</w:t>
      </w:r>
    </w:p>
    <w:p>
      <w:pPr>
        <w:pStyle w:val="ListParagraph"/>
        <w:numPr>
          <w:ilvl w:val="0"/>
          <w:numId w:val="2"/>
        </w:numPr>
        <w:spacing w:after="80"/>
      </w:pPr>
      <w:r>
        <w:rPr>
          <w:sz w:val="21"/>
          <w:szCs w:val="21"/>
        </w:rPr>
        <w:t xml:space="preserve">Délai de reversement aux Cotraitants après encaissement : [Nombre de jours]</w:t>
      </w:r>
    </w:p>
    <w:p>
      <w:pPr>
        <w:pStyle w:val="Heading1"/>
        <w:pBdr>
          <w:bottom w:val="single" w:color="1591F0" w:sz="6" w:space="4"/>
        </w:pBdr>
        <w:spacing w:after="140" w:before="320"/>
      </w:pPr>
      <w:r>
        <w:rPr>
          <w:b/>
          <w:bCs/>
          <w:color w:val="1F3B57"/>
          <w:sz w:val="24"/>
          <w:szCs w:val="24"/>
        </w:rPr>
        <w:t xml:space="preserve">Article 7 — </w:t>
      </w:r>
      <w:r>
        <w:rPr>
          <w:b/>
          <w:bCs/>
          <w:color w:val="1F3B57"/>
          <w:sz w:val="24"/>
          <w:szCs w:val="24"/>
        </w:rPr>
        <w:t xml:space="preserve">Assurances</w:t>
      </w:r>
    </w:p>
    <w:p>
      <w:pPr>
        <w:spacing w:after="140" w:line="300"/>
      </w:pPr>
      <w:r>
        <w:rPr>
          <w:sz w:val="21"/>
          <w:szCs w:val="21"/>
        </w:rPr>
        <w:t xml:space="preserve">Chaque Cotraitant déclare être couvert, pour la durée du chantier, par les assurances suivantes, dont il fournit une attestation avant le démarrage des travaux :</w:t>
      </w:r>
    </w:p>
    <w:p>
      <w:pPr>
        <w:pStyle w:val="ListParagraph"/>
        <w:numPr>
          <w:ilvl w:val="0"/>
          <w:numId w:val="2"/>
        </w:numPr>
        <w:spacing w:after="80"/>
      </w:pPr>
      <w:r>
        <w:rPr>
          <w:sz w:val="21"/>
          <w:szCs w:val="21"/>
        </w:rPr>
        <w:t xml:space="preserve">Une assurance de responsabilité civile professionnelle ;</w:t>
      </w:r>
    </w:p>
    <w:p>
      <w:pPr>
        <w:pStyle w:val="ListParagraph"/>
        <w:numPr>
          <w:ilvl w:val="0"/>
          <w:numId w:val="2"/>
        </w:numPr>
        <w:spacing w:after="80"/>
      </w:pPr>
      <w:r>
        <w:rPr>
          <w:sz w:val="21"/>
          <w:szCs w:val="21"/>
        </w:rPr>
        <w:t xml:space="preserve">Une assurance garantie décennale, couvrant sa part de prestation ;</w:t>
      </w:r>
    </w:p>
    <w:p>
      <w:pPr>
        <w:pStyle w:val="ListParagraph"/>
        <w:numPr>
          <w:ilvl w:val="0"/>
          <w:numId w:val="2"/>
        </w:numPr>
        <w:spacing w:after="80"/>
      </w:pPr>
      <w:r>
        <w:rPr>
          <w:sz w:val="21"/>
          <w:szCs w:val="21"/>
        </w:rPr>
        <w:t xml:space="preserve">[Le cas échéant] Une assurance tous risques chantier (TRC), souscrite par [mandataire / chaque Cotraitant].</w:t>
      </w:r>
    </w:p>
    <w:p>
      <w:pPr>
        <w:spacing w:after="140" w:line="300"/>
      </w:pPr>
      <w:r>
        <w:rPr>
          <w:sz w:val="21"/>
          <w:szCs w:val="21"/>
        </w:rPr>
        <w:t xml:space="preserve">En cas de groupement solidaire, les Cotraitants s'engagent à vérifier la cohérence de leurs couvertures respectives, chacun pouvant voir sa responsabilité engagée pour l'ensemble du chantier.</w:t>
      </w:r>
    </w:p>
    <w:p>
      <w:pPr>
        <w:pStyle w:val="Heading1"/>
        <w:pBdr>
          <w:bottom w:val="single" w:color="1591F0" w:sz="6" w:space="4"/>
        </w:pBdr>
        <w:spacing w:after="140" w:before="320"/>
      </w:pPr>
      <w:r>
        <w:rPr>
          <w:b/>
          <w:bCs/>
          <w:color w:val="1F3B57"/>
          <w:sz w:val="24"/>
          <w:szCs w:val="24"/>
        </w:rPr>
        <w:t xml:space="preserve">Article 8 — </w:t>
      </w:r>
      <w:r>
        <w:rPr>
          <w:b/>
          <w:bCs/>
          <w:color w:val="1F3B57"/>
          <w:sz w:val="24"/>
          <w:szCs w:val="24"/>
        </w:rPr>
        <w:t xml:space="preserve">Durée de la convention</w:t>
      </w:r>
    </w:p>
    <w:p>
      <w:pPr>
        <w:spacing w:after="140" w:line="300"/>
      </w:pPr>
      <w:r>
        <w:rPr>
          <w:sz w:val="21"/>
          <w:szCs w:val="21"/>
        </w:rPr>
        <w:t xml:space="preserve">La présente convention prend effet à la date de sa signature par l'ensemble des Cotraitants et prend fin à la date d'expiration de la garantie de parfait achèvement du marché, sauf résiliation anticipée prévue à l'article 10.</w:t>
      </w:r>
    </w:p>
    <w:p>
      <w:pPr>
        <w:pStyle w:val="Heading1"/>
        <w:pBdr>
          <w:bottom w:val="single" w:color="1591F0" w:sz="6" w:space="4"/>
        </w:pBdr>
        <w:spacing w:after="140" w:before="320"/>
      </w:pPr>
      <w:r>
        <w:rPr>
          <w:b/>
          <w:bCs/>
          <w:color w:val="1F3B57"/>
          <w:sz w:val="24"/>
          <w:szCs w:val="24"/>
        </w:rPr>
        <w:t xml:space="preserve">Article 9 — </w:t>
      </w:r>
      <w:r>
        <w:rPr>
          <w:b/>
          <w:bCs/>
          <w:color w:val="1F3B57"/>
          <w:sz w:val="24"/>
          <w:szCs w:val="24"/>
        </w:rPr>
        <w:t xml:space="preserve">Coordination et exécution du chantier</w:t>
      </w:r>
    </w:p>
    <w:p>
      <w:pPr>
        <w:spacing w:after="140" w:line="300"/>
      </w:pPr>
      <w:r>
        <w:rPr>
          <w:sz w:val="21"/>
          <w:szCs w:val="21"/>
        </w:rPr>
        <w:t xml:space="preserve">Les Cotraitants s'engagent à :</w:t>
      </w:r>
    </w:p>
    <w:p>
      <w:pPr>
        <w:pStyle w:val="ListParagraph"/>
        <w:numPr>
          <w:ilvl w:val="0"/>
          <w:numId w:val="2"/>
        </w:numPr>
        <w:spacing w:after="80"/>
      </w:pPr>
      <w:r>
        <w:rPr>
          <w:sz w:val="21"/>
          <w:szCs w:val="21"/>
        </w:rPr>
        <w:t xml:space="preserve">Participer aux réunions de chantier et de coordination organisées par le mandataire ;</w:t>
      </w:r>
    </w:p>
    <w:p>
      <w:pPr>
        <w:pStyle w:val="ListParagraph"/>
        <w:numPr>
          <w:ilvl w:val="0"/>
          <w:numId w:val="2"/>
        </w:numPr>
        <w:spacing w:after="80"/>
      </w:pPr>
      <w:r>
        <w:rPr>
          <w:sz w:val="21"/>
          <w:szCs w:val="21"/>
        </w:rPr>
        <w:t xml:space="preserve">Communiquer sans délai toute information susceptible d'affecter le déroulement du chantier ;</w:t>
      </w:r>
    </w:p>
    <w:p>
      <w:pPr>
        <w:pStyle w:val="ListParagraph"/>
        <w:numPr>
          <w:ilvl w:val="0"/>
          <w:numId w:val="2"/>
        </w:numPr>
        <w:spacing w:after="80"/>
      </w:pPr>
      <w:r>
        <w:rPr>
          <w:sz w:val="21"/>
          <w:szCs w:val="21"/>
        </w:rPr>
        <w:t xml:space="preserve">Respecter le planning d'exécution commun et les délais contractuels ;</w:t>
      </w:r>
    </w:p>
    <w:p>
      <w:pPr>
        <w:pStyle w:val="ListParagraph"/>
        <w:numPr>
          <w:ilvl w:val="0"/>
          <w:numId w:val="2"/>
        </w:numPr>
        <w:spacing w:after="80"/>
      </w:pPr>
      <w:r>
        <w:rPr>
          <w:sz w:val="21"/>
          <w:szCs w:val="21"/>
        </w:rPr>
        <w:t xml:space="preserve">Se tenir mutuellement informés de l'avancement de leurs prestations respectives.</w:t>
      </w:r>
    </w:p>
    <w:p>
      <w:pPr>
        <w:pStyle w:val="Heading1"/>
        <w:pBdr>
          <w:bottom w:val="single" w:color="1591F0" w:sz="6" w:space="4"/>
        </w:pBdr>
        <w:spacing w:after="140" w:before="320"/>
      </w:pPr>
      <w:r>
        <w:rPr>
          <w:b/>
          <w:bCs/>
          <w:color w:val="1F3B57"/>
          <w:sz w:val="24"/>
          <w:szCs w:val="24"/>
        </w:rPr>
        <w:t xml:space="preserve">Article 10 — </w:t>
      </w:r>
      <w:r>
        <w:rPr>
          <w:b/>
          <w:bCs/>
          <w:color w:val="1F3B57"/>
          <w:sz w:val="24"/>
          <w:szCs w:val="24"/>
        </w:rPr>
        <w:t xml:space="preserve">Défaillance d'un cotraitant</w:t>
      </w:r>
    </w:p>
    <w:p>
      <w:pPr>
        <w:spacing w:after="140" w:line="300"/>
      </w:pPr>
      <w:r>
        <w:rPr>
          <w:sz w:val="21"/>
          <w:szCs w:val="21"/>
        </w:rPr>
        <w:t xml:space="preserve">En cas de défaillance d'un Cotraitant (manquement grave, redressement ou liquidation judiciaire, retard mettant en péril l'exécution du marché), les autres Cotraitants s'engagent, dans la mesure du possible, à :</w:t>
      </w:r>
    </w:p>
    <w:p>
      <w:pPr>
        <w:pStyle w:val="ListParagraph"/>
        <w:numPr>
          <w:ilvl w:val="0"/>
          <w:numId w:val="2"/>
        </w:numPr>
        <w:spacing w:after="80"/>
      </w:pPr>
      <w:r>
        <w:rPr>
          <w:sz w:val="21"/>
          <w:szCs w:val="21"/>
        </w:rPr>
        <w:t xml:space="preserve">En informer sans délai le maître d'ouvrage et le maître d'œuvre ;</w:t>
      </w:r>
    </w:p>
    <w:p>
      <w:pPr>
        <w:pStyle w:val="ListParagraph"/>
        <w:numPr>
          <w:ilvl w:val="0"/>
          <w:numId w:val="2"/>
        </w:numPr>
        <w:spacing w:after="80"/>
      </w:pPr>
      <w:r>
        <w:rPr>
          <w:sz w:val="21"/>
          <w:szCs w:val="21"/>
        </w:rPr>
        <w:t xml:space="preserve">Pallier la défaillance dans le cas d'un groupement solidaire, conformément à l'article 2 ;</w:t>
      </w:r>
    </w:p>
    <w:p>
      <w:pPr>
        <w:pStyle w:val="ListParagraph"/>
        <w:numPr>
          <w:ilvl w:val="0"/>
          <w:numId w:val="2"/>
        </w:numPr>
        <w:spacing w:after="80"/>
      </w:pPr>
      <w:r>
        <w:rPr>
          <w:sz w:val="21"/>
          <w:szCs w:val="21"/>
        </w:rPr>
        <w:t xml:space="preserve">Rechercher, le cas échéant, un remplaçant présentant des garanties équivalentes, avec l'accord du maître d'ouvrage.</w:t>
      </w:r>
    </w:p>
    <w:p>
      <w:pPr>
        <w:pStyle w:val="Heading1"/>
        <w:pBdr>
          <w:bottom w:val="single" w:color="1591F0" w:sz="6" w:space="4"/>
        </w:pBdr>
        <w:spacing w:after="140" w:before="320"/>
      </w:pPr>
      <w:r>
        <w:rPr>
          <w:b/>
          <w:bCs/>
          <w:color w:val="1F3B57"/>
          <w:sz w:val="24"/>
          <w:szCs w:val="24"/>
        </w:rPr>
        <w:t xml:space="preserve">Article 11 — </w:t>
      </w:r>
      <w:r>
        <w:rPr>
          <w:b/>
          <w:bCs/>
          <w:color w:val="1F3B57"/>
          <w:sz w:val="24"/>
          <w:szCs w:val="24"/>
        </w:rPr>
        <w:t xml:space="preserve">Règlement des litiges</w:t>
      </w:r>
    </w:p>
    <w:p>
      <w:pPr>
        <w:spacing w:after="140" w:line="300"/>
      </w:pPr>
      <w:r>
        <w:rPr>
          <w:sz w:val="21"/>
          <w:szCs w:val="21"/>
        </w:rPr>
        <w:t xml:space="preserve">Tout litige né de l'exécution ou de l'interprétation de la présente convention entre les Cotraitants relève de la juridiction de droit commun compétente. Les litiges opposant un Cotraitant à l'administration relèvent, le cas échéant, du tribunal administratif compétent.</w:t>
      </w:r>
    </w:p>
    <w:p>
      <w:pPr>
        <w:spacing w:after="140" w:line="300"/>
      </w:pPr>
      <w:r>
        <w:rPr>
          <w:sz w:val="21"/>
          <w:szCs w:val="21"/>
        </w:rPr>
        <w:t xml:space="preserve">Avant toute action contentieuse, les Cotraitants s'efforcent de rechercher une solution amiable, notamment par la médiation ou la conciliation.</w:t>
      </w:r>
    </w:p>
    <w:p>
      <w:pPr>
        <w:pStyle w:val="Heading1"/>
        <w:pBdr>
          <w:bottom w:val="single" w:color="1591F0" w:sz="6" w:space="4"/>
        </w:pBdr>
        <w:spacing w:after="140" w:before="320"/>
      </w:pPr>
      <w:r>
        <w:rPr>
          <w:b/>
          <w:bCs/>
          <w:color w:val="1F3B57"/>
          <w:sz w:val="24"/>
          <w:szCs w:val="24"/>
        </w:rPr>
        <w:t xml:space="preserve">Article 12 — </w:t>
      </w:r>
      <w:r>
        <w:rPr>
          <w:b/>
          <w:bCs/>
          <w:color w:val="1F3B57"/>
          <w:sz w:val="24"/>
          <w:szCs w:val="24"/>
        </w:rPr>
        <w:t xml:space="preserve">Confidentialité</w:t>
      </w:r>
    </w:p>
    <w:p>
      <w:pPr>
        <w:spacing w:after="140" w:line="300"/>
      </w:pPr>
      <w:r>
        <w:rPr>
          <w:sz w:val="21"/>
          <w:szCs w:val="21"/>
        </w:rPr>
        <w:t xml:space="preserve">Les Cotraitants s'engagent à conserver confidentielles les informations techniques, commerciales et financières échangées dans le cadre de l'exécution du marché, pendant toute sa durée et [  ] mois après son achèvement.</w:t>
      </w:r>
    </w:p>
    <w:p>
      <w:pPr>
        <w:pStyle w:val="Heading1"/>
        <w:pBdr>
          <w:bottom w:val="single" w:color="1591F0" w:sz="6" w:space="4"/>
        </w:pBdr>
        <w:spacing w:after="140" w:before="320"/>
      </w:pPr>
      <w:r>
        <w:rPr>
          <w:b/>
          <w:bCs/>
          <w:color w:val="1F3B57"/>
          <w:sz w:val="24"/>
          <w:szCs w:val="24"/>
        </w:rPr>
        <w:t xml:space="preserve">Article 13 — </w:t>
      </w:r>
      <w:r>
        <w:rPr>
          <w:b/>
          <w:bCs/>
          <w:color w:val="1F3B57"/>
          <w:sz w:val="24"/>
          <w:szCs w:val="24"/>
        </w:rPr>
        <w:t xml:space="preserve">Élection de domicile</w:t>
      </w:r>
    </w:p>
    <w:p>
      <w:pPr>
        <w:spacing w:after="140" w:line="300"/>
      </w:pPr>
      <w:r>
        <w:rPr>
          <w:sz w:val="21"/>
          <w:szCs w:val="21"/>
        </w:rPr>
        <w:t xml:space="preserve">Pour l'exécution de la présente convention, les Cotraitants font élection de domicile à leurs sièges sociaux respectifs, tels qu'indiqués en préambule.</w:t>
      </w:r>
    </w:p>
    <w:p>
      <w:r>
        <w:br w:type="page"/>
      </w:r>
    </w:p>
    <w:p>
      <w:pPr>
        <w:spacing w:after="100" w:before="160"/>
      </w:pPr>
      <w:r>
        <w:rPr>
          <w:b/>
          <w:bCs/>
          <w:color w:val="1F3B57"/>
          <w:sz w:val="21"/>
          <w:szCs w:val="21"/>
        </w:rPr>
        <w:t xml:space="preserve">FAIT EN AUTANT D'EXEMPLAIRES QUE DE PARTIES</w:t>
      </w:r>
    </w:p>
    <w:p>
      <w:pPr>
        <w:spacing w:after="140" w:line="300"/>
      </w:pPr>
      <w:r>
        <w:rPr>
          <w:sz w:val="21"/>
          <w:szCs w:val="21"/>
        </w:rPr>
        <w:t xml:space="preserve">À [Lieu], le [Date]</w:t>
      </w:r>
    </w:p>
    <w:p>
      <w:pPr>
        <w:spacing w:after="20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c>
          <w:tcPr>
            <w:tcW w:type="dxa" w:w="3000"/>
            <w:shd w:fill="1F3B57" w:val="clear"/>
            <w:tcMar>
              <w:top w:type="dxa" w:w="80"/>
              <w:left w:type="dxa" w:w="100"/>
              <w:bottom w:type="dxa" w:w="80"/>
              <w:right w:type="dxa" w:w="100"/>
            </w:tcMar>
          </w:tcPr>
          <w:p>
            <w:r>
              <w:rPr>
                <w:b/>
                <w:bCs/>
                <w:color w:val="FFFFFF"/>
                <w:sz w:val="19"/>
                <w:szCs w:val="19"/>
              </w:rPr>
              <w:t xml:space="preserve">Cotraitant</w:t>
            </w:r>
          </w:p>
        </w:tc>
        <w:tc>
          <w:tcPr>
            <w:tcW w:type="dxa" w:w="3000"/>
            <w:shd w:fill="1F3B57" w:val="clear"/>
            <w:tcMar>
              <w:top w:type="dxa" w:w="80"/>
              <w:left w:type="dxa" w:w="100"/>
              <w:bottom w:type="dxa" w:w="80"/>
              <w:right w:type="dxa" w:w="100"/>
            </w:tcMar>
          </w:tcPr>
          <w:p>
            <w:r>
              <w:rPr>
                <w:b/>
                <w:bCs/>
                <w:color w:val="FFFFFF"/>
                <w:sz w:val="19"/>
                <w:szCs w:val="19"/>
              </w:rPr>
              <w:t xml:space="preserve">Nom et qualité du signataire</w:t>
            </w:r>
          </w:p>
        </w:tc>
        <w:tc>
          <w:tcPr>
            <w:tcW w:type="dxa" w:w="3000"/>
            <w:shd w:fill="1F3B57" w:val="clear"/>
            <w:tcMar>
              <w:top w:type="dxa" w:w="80"/>
              <w:left w:type="dxa" w:w="100"/>
              <w:bottom w:type="dxa" w:w="80"/>
              <w:right w:type="dxa" w:w="100"/>
            </w:tcMar>
          </w:tcPr>
          <w:p>
            <w:r>
              <w:rPr>
                <w:b/>
                <w:bCs/>
                <w:color w:val="FFFFFF"/>
                <w:sz w:val="19"/>
                <w:szCs w:val="19"/>
              </w:rPr>
              <w:t xml:space="preserve">Date et signature</w:t>
            </w:r>
          </w:p>
        </w:tc>
      </w:tr>
      <w:tr>
        <w:tc>
          <w:tcPr>
            <w:tcW w:type="dxa" w:w="3000"/>
            <w:tcMar>
              <w:top w:type="dxa" w:w="100"/>
              <w:left w:type="dxa" w:w="100"/>
              <w:bottom w:type="dxa" w:w="900"/>
              <w:right w:type="dxa" w:w="100"/>
            </w:tcMar>
          </w:tcPr>
          <w:p>
            <w:r>
              <w:rPr>
                <w:i/>
                <w:iCs/>
                <w:color w:val="595959"/>
                <w:sz w:val="21"/>
                <w:szCs w:val="21"/>
              </w:rPr>
              <w:t xml:space="preserve">[Entreprise 1]</w:t>
            </w:r>
          </w:p>
        </w:tc>
        <w:tc>
          <w:tcPr>
            <w:tcW w:type="dxa" w:w="3000"/>
            <w:tcMar>
              <w:top w:type="dxa" w:w="100"/>
              <w:left w:type="dxa" w:w="100"/>
              <w:bottom w:type="dxa" w:w="900"/>
              <w:right w:type="dxa" w:w="100"/>
            </w:tcMar>
          </w:tcPr>
          <w:p>
            <w:r>
              <w:rPr>
                <w:i/>
                <w:iCs/>
                <w:color w:val="595959"/>
                <w:sz w:val="21"/>
                <w:szCs w:val="21"/>
              </w:rPr>
              <w:t xml:space="preserve">[Nom, fonction]</w:t>
            </w:r>
          </w:p>
        </w:tc>
        <w:tc>
          <w:tcPr>
            <w:tcW w:type="dxa" w:w="3000"/>
            <w:tcMar>
              <w:top w:type="dxa" w:w="100"/>
              <w:left w:type="dxa" w:w="100"/>
              <w:bottom w:type="dxa" w:w="900"/>
              <w:right w:type="dxa" w:w="100"/>
            </w:tcMar>
          </w:tcPr>
          <w:p>
            <w:r>
              <w:rPr>
                <w:i/>
                <w:iCs/>
                <w:color w:val="595959"/>
                <w:sz w:val="21"/>
                <w:szCs w:val="21"/>
              </w:rPr>
              <w:t xml:space="preserve">[Fait à ... le ...]</w:t>
            </w:r>
          </w:p>
        </w:tc>
      </w:tr>
      <w:tr>
        <w:tc>
          <w:tcPr>
            <w:tcW w:type="dxa" w:w="3000"/>
            <w:tcMar>
              <w:top w:type="dxa" w:w="100"/>
              <w:left w:type="dxa" w:w="100"/>
              <w:bottom w:type="dxa" w:w="900"/>
              <w:right w:type="dxa" w:w="100"/>
            </w:tcMar>
          </w:tcPr>
          <w:p>
            <w:r>
              <w:rPr>
                <w:i/>
                <w:iCs/>
                <w:color w:val="595959"/>
                <w:sz w:val="21"/>
                <w:szCs w:val="21"/>
              </w:rPr>
              <w:t xml:space="preserve">[Entreprise 2]</w:t>
            </w:r>
          </w:p>
        </w:tc>
        <w:tc>
          <w:tcPr>
            <w:tcW w:type="dxa" w:w="3000"/>
            <w:tcMar>
              <w:top w:type="dxa" w:w="100"/>
              <w:left w:type="dxa" w:w="100"/>
              <w:bottom w:type="dxa" w:w="900"/>
              <w:right w:type="dxa" w:w="100"/>
            </w:tcMar>
          </w:tcPr>
          <w:p>
            <w:r>
              <w:rPr>
                <w:i/>
                <w:iCs/>
                <w:color w:val="595959"/>
                <w:sz w:val="21"/>
                <w:szCs w:val="21"/>
              </w:rPr>
              <w:t xml:space="preserve">[Nom, fonction]</w:t>
            </w:r>
          </w:p>
        </w:tc>
        <w:tc>
          <w:tcPr>
            <w:tcW w:type="dxa" w:w="3000"/>
            <w:tcMar>
              <w:top w:type="dxa" w:w="100"/>
              <w:left w:type="dxa" w:w="100"/>
              <w:bottom w:type="dxa" w:w="900"/>
              <w:right w:type="dxa" w:w="100"/>
            </w:tcMar>
          </w:tcPr>
          <w:p>
            <w:r>
              <w:rPr>
                <w:i/>
                <w:iCs/>
                <w:color w:val="595959"/>
                <w:sz w:val="21"/>
                <w:szCs w:val="21"/>
              </w:rPr>
              <w:t xml:space="preserve">[Fait à ... le ...]</w:t>
            </w:r>
          </w:p>
        </w:tc>
      </w:tr>
      <w:tr>
        <w:tc>
          <w:tcPr>
            <w:tcW w:type="dxa" w:w="3000"/>
            <w:tcMar>
              <w:top w:type="dxa" w:w="100"/>
              <w:left w:type="dxa" w:w="100"/>
              <w:bottom w:type="dxa" w:w="900"/>
              <w:right w:type="dxa" w:w="100"/>
            </w:tcMar>
          </w:tcPr>
          <w:p>
            <w:r>
              <w:rPr>
                <w:i/>
                <w:iCs/>
                <w:color w:val="595959"/>
                <w:sz w:val="21"/>
                <w:szCs w:val="21"/>
              </w:rPr>
              <w:t xml:space="preserve">[Entreprise 3 — le cas échéant]</w:t>
            </w:r>
          </w:p>
        </w:tc>
        <w:tc>
          <w:tcPr>
            <w:tcW w:type="dxa" w:w="3000"/>
            <w:tcMar>
              <w:top w:type="dxa" w:w="100"/>
              <w:left w:type="dxa" w:w="100"/>
              <w:bottom w:type="dxa" w:w="900"/>
              <w:right w:type="dxa" w:w="100"/>
            </w:tcMar>
          </w:tcPr>
          <w:p>
            <w:r>
              <w:rPr>
                <w:i/>
                <w:iCs/>
                <w:color w:val="595959"/>
                <w:sz w:val="21"/>
                <w:szCs w:val="21"/>
              </w:rPr>
              <w:t xml:space="preserve">[Nom, fonction]</w:t>
            </w:r>
          </w:p>
        </w:tc>
        <w:tc>
          <w:tcPr>
            <w:tcW w:type="dxa" w:w="3000"/>
            <w:tcMar>
              <w:top w:type="dxa" w:w="100"/>
              <w:left w:type="dxa" w:w="100"/>
              <w:bottom w:type="dxa" w:w="900"/>
              <w:right w:type="dxa" w:w="100"/>
            </w:tcMar>
          </w:tcPr>
          <w:p>
            <w:r>
              <w:rPr>
                <w:i/>
                <w:iCs/>
                <w:color w:val="595959"/>
                <w:sz w:val="21"/>
                <w:szCs w:val="21"/>
              </w:rPr>
              <w:t xml:space="preserve">[Fait à ... le ...]</w:t>
            </w:r>
          </w:p>
        </w:tc>
      </w:tr>
    </w:tbl>
    <w:p>
      <w:pPr>
        <w:spacing w:before="400"/>
      </w:pPr>
    </w:p>
    <w:p>
      <w:pPr>
        <w:pBdr>
          <w:top w:val="single" w:color="CCCCCC" w:sz="4" w:space="4"/>
        </w:pBdr>
        <w:spacing w:before="200"/>
        <w:jc w:val="center"/>
      </w:pPr>
      <w:r>
        <w:rPr>
          <w:i/>
          <w:iCs/>
          <w:color w:val="595959"/>
          <w:sz w:val="16"/>
          <w:szCs w:val="16"/>
        </w:rPr>
        <w:t xml:space="preserve">Modèle proposé par Obat — obat.fr — Gestion d'entreprise du bâtiment</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2026-07-20T12:32:25.239Z</dcterms:created>
  <dcterms:modified xsi:type="dcterms:W3CDTF">2026-07-20T12:32:25.251Z</dcterms:modified>
</cp:coreProperties>
</file>

<file path=docProps/custom.xml><?xml version="1.0" encoding="utf-8"?>
<Properties xmlns="http://schemas.openxmlformats.org/officeDocument/2006/custom-properties" xmlns:vt="http://schemas.openxmlformats.org/officeDocument/2006/docPropsVTypes"/>
</file>